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beforeAutospacing="0" w:after="0" w:afterAutospacing="0" w:line="560" w:lineRule="exact"/>
        <w:jc w:val="both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ascii="黑体" w:hAnsi="黑体" w:eastAsia="黑体" w:cs="黑体"/>
          <w:sz w:val="32"/>
          <w:szCs w:val="32"/>
        </w:rPr>
        <w:t>1</w:t>
      </w:r>
    </w:p>
    <w:p>
      <w:pPr>
        <w:pStyle w:val="3"/>
        <w:spacing w:before="0" w:beforeAutospacing="0" w:after="0" w:afterAutospacing="0" w:line="560" w:lineRule="exact"/>
        <w:jc w:val="center"/>
        <w:rPr>
          <w:rFonts w:ascii="方正小标宋简体" w:eastAsia="方正小标宋简体" w:cs="Times New Roman"/>
          <w:sz w:val="44"/>
          <w:szCs w:val="44"/>
        </w:rPr>
      </w:pPr>
      <w:r>
        <w:rPr>
          <w:rFonts w:ascii="方正小标宋简体" w:eastAsia="方正小标宋简体" w:cs="方正小标宋简体"/>
          <w:sz w:val="44"/>
          <w:szCs w:val="44"/>
        </w:rPr>
        <w:t>2016</w:t>
      </w:r>
      <w:r>
        <w:rPr>
          <w:rFonts w:hint="eastAsia" w:ascii="方正小标宋简体" w:eastAsia="方正小标宋简体" w:cs="方正小标宋简体"/>
          <w:sz w:val="44"/>
          <w:szCs w:val="44"/>
        </w:rPr>
        <w:t>年贵州省“安全生产月”和“安全生产贵州行”活动考核评分表</w:t>
      </w:r>
    </w:p>
    <w:p>
      <w:pPr>
        <w:pStyle w:val="3"/>
        <w:spacing w:before="0" w:beforeAutospacing="0" w:after="0" w:afterAutospacing="0" w:line="560" w:lineRule="exact"/>
        <w:jc w:val="both"/>
        <w:rPr>
          <w:rFonts w:ascii="仿宋_GB2312" w:eastAsia="仿宋_GB2312" w:cs="Times New Roman"/>
        </w:rPr>
      </w:pPr>
      <w:r>
        <w:rPr>
          <w:rFonts w:hint="eastAsia" w:ascii="仿宋_GB2312" w:eastAsia="仿宋_GB2312" w:cs="仿宋_GB2312"/>
        </w:rPr>
        <w:t>考核单位：</w:t>
      </w:r>
    </w:p>
    <w:p>
      <w:pPr>
        <w:pStyle w:val="3"/>
        <w:spacing w:before="0" w:beforeAutospacing="0" w:after="0" w:afterAutospacing="0" w:line="480" w:lineRule="exact"/>
        <w:jc w:val="both"/>
        <w:rPr>
          <w:rFonts w:ascii="仿宋" w:hAnsi="仿宋" w:eastAsia="仿宋" w:cs="Times New Roman"/>
          <w:sz w:val="32"/>
          <w:szCs w:val="32"/>
        </w:rPr>
      </w:pPr>
    </w:p>
    <w:tbl>
      <w:tblPr>
        <w:tblStyle w:val="6"/>
        <w:tblW w:w="1585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2127"/>
        <w:gridCol w:w="3545"/>
        <w:gridCol w:w="709"/>
        <w:gridCol w:w="3317"/>
        <w:gridCol w:w="3242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  <w:jc w:val="center"/>
        </w:trPr>
        <w:tc>
          <w:tcPr>
            <w:tcW w:w="3627" w:type="dxa"/>
            <w:gridSpan w:val="2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考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核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项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目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考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核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标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准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分值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评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分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方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式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落实情况</w:t>
            </w:r>
            <w:r>
              <w:rPr>
                <w:rFonts w:ascii="黑体" w:hAnsi="黑体" w:eastAsia="黑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（提供数据）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黑体" w:hAns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考核得分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500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一、组织机构发挥职能作用情况</w:t>
            </w: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(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一）组织机构健全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专门成立活动组织机构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未落实的不得分；委托社会中介机构承办具体事务的计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2.5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设立“安全生产月”活动组委会办公室，有明确部门负责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指定“安全生产月”活动联络员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4.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有活动经费保障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制度完善，并严格执行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制度名称：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（二）领导重视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由主要领导或分管领导担任组委会领导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召开专题会议部署动员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spacing w:val="-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spacing w:val="-12"/>
                <w:kern w:val="0"/>
                <w:sz w:val="22"/>
                <w:szCs w:val="22"/>
              </w:rPr>
              <w:t>3.</w:t>
            </w:r>
            <w:r>
              <w:rPr>
                <w:rFonts w:hint="eastAsia" w:ascii="仿宋_GB2312" w:hAnsi="宋体" w:eastAsia="仿宋_GB2312" w:cs="仿宋_GB2312"/>
                <w:spacing w:val="-12"/>
                <w:kern w:val="0"/>
                <w:sz w:val="22"/>
                <w:szCs w:val="22"/>
              </w:rPr>
              <w:t>地方政府（部门）领导出席活动情况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出席活动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spacing w:val="-10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spacing w:val="-10"/>
                <w:kern w:val="0"/>
                <w:sz w:val="22"/>
                <w:szCs w:val="22"/>
              </w:rPr>
              <w:t>4.</w:t>
            </w:r>
            <w:r>
              <w:rPr>
                <w:rFonts w:hint="eastAsia" w:ascii="仿宋_GB2312" w:hAnsi="宋体" w:eastAsia="仿宋_GB2312" w:cs="仿宋_GB2312"/>
                <w:spacing w:val="-10"/>
                <w:kern w:val="0"/>
                <w:sz w:val="22"/>
                <w:szCs w:val="22"/>
              </w:rPr>
              <w:t>安全监管部门负责人参加活动情况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出席活动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0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一、组织机构发挥职能作用情况</w:t>
            </w: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（三）活动方案明确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根据自身实际创造性地编制活动方案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7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每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项自创活动计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分，计满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7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分为止。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2.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按时限报送方案等文件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在最后期限前报送计满分，每超时限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天扣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分，扣完为止。</w:t>
            </w: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无故未提交活动方案的，该项目</w:t>
            </w:r>
            <w:r>
              <w:rPr>
                <w:rFonts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5</w:t>
            </w: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分全部扣除。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报送日期：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（四）协调相关部门开展活动</w:t>
            </w: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（只考核各地安委会）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调动地方安委会成员单位联合开展活动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调动地方安委会成员单位以外有关部门单位开展活动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每调动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个成员单位以外有关部门单位计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分，计满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分为止。需提供具体单位名称。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单位名称：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（五）部署指导所属地区、部门、单位开展活动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有活动指导、督导具体方案并组织实施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有活动督导、考核、奖惩措施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督导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（六）活动信息报送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按时报送信息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每周至少报送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次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每报送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条信息计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分，计满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</w:t>
            </w:r>
          </w:p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分为止。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报送信息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（七）活动总结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总结材料结构清晰，内容丰富，特色突出，言简意赅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按时限报送总结文件和活动期间视频照片等资料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4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在最后期限前报送计满分，每超时限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天扣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分，扣完为止。</w:t>
            </w: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无故未提交活动总结的，不得确定为“优秀”等次。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报送日期：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7172" w:type="dxa"/>
            <w:gridSpan w:val="3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小计分值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100</w:t>
            </w:r>
          </w:p>
        </w:tc>
        <w:tc>
          <w:tcPr>
            <w:tcW w:w="6559" w:type="dxa"/>
            <w:gridSpan w:val="2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1500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二、“安全生产月”活动开展情况</w:t>
            </w:r>
          </w:p>
        </w:tc>
        <w:tc>
          <w:tcPr>
            <w:tcW w:w="2127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(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一）强化主题宣传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spacing w:val="-6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spacing w:val="-6"/>
                <w:kern w:val="0"/>
                <w:sz w:val="22"/>
                <w:szCs w:val="22"/>
              </w:rPr>
              <w:t>加大当年“安全生产月”活动主题宣传力度，制作、安装、发布主题公益宣传广告牌、宣传画等宣教产品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制作安装公益宣传牌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张</w:t>
            </w:r>
          </w:p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制作张贴公益宣传画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张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1500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二、“安全生产月”活动开展情况</w:t>
            </w: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（二）扎实深入开展全省性宣教活动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开展安全发展主题宣讲活动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  <w:u w:val="single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位厅（局）长、市（州）长宣讲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开展企业家谈安全生产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ascii="仿宋_GB2312" w:hAnsi="宋体" w:eastAsia="仿宋_GB2312" w:cs="仿宋_GB2312"/>
                <w:spacing w:val="-6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spacing w:val="-6"/>
                <w:kern w:val="0"/>
                <w:sz w:val="22"/>
                <w:szCs w:val="22"/>
              </w:rPr>
              <w:t>支宣讲团下基层宣讲</w:t>
            </w:r>
            <w:r>
              <w:rPr>
                <w:rFonts w:ascii="仿宋_GB2312" w:hAnsi="宋体" w:eastAsia="仿宋_GB2312" w:cs="仿宋_GB2312"/>
                <w:spacing w:val="-6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spacing w:val="-6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在线访谈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举办论坛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发表评论、体会文章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篇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spacing w:val="-6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spacing w:val="-6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spacing w:val="-6"/>
                <w:kern w:val="0"/>
                <w:sz w:val="22"/>
                <w:szCs w:val="22"/>
              </w:rPr>
              <w:t>开展全省安全生产宣传咨询日活动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开设专版专栏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期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发放宣传资料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份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设置各类展板、标语等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块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接受群众咨询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人次</w:t>
            </w:r>
          </w:p>
        </w:tc>
        <w:tc>
          <w:tcPr>
            <w:tcW w:w="1419" w:type="dxa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举办“守护生命”安全知识大赛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4.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举办安全发展忠诚卫士演讲比赛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开展演讲比赛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举办安全文化精品网上博览会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报送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部安全文化作品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6.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开展安全事故警示教育活动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开展警示教育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受教育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人次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7.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开展安全文化建设示范创建活动</w:t>
            </w:r>
          </w:p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（只考核各地区）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“回头看”检查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家，检查覆盖率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%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；制定整改方案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份，整改率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%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8.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开展其他宣教活动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举办培训讲座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举办竞赛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举办展览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举办文艺演出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场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9.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开展安全生产执法检查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出动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个检查组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深入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家企业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发现并治理非法违法、违规违章行为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项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执法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项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推动企业排查隐患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项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500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二、“安全生产月”活动开展情况</w:t>
            </w: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（三）加强新闻宣传和社会监督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制定安全生产月活动宣传方案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邀请主流新闻媒体对本地区、本部门、本单位活动进行宣传报道，宣传先进，鞭策落后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在省主流媒体、市级主流媒体每发表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篇新闻稿件计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分，计满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15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分为止。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在主流媒体发表稿件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篇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在电视、广播、报刊、网站、微博、微信进行安全生产公益宣传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4.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及时进行舆情分析，对公众反映强烈的安全生产问题进行解释答疑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出现重大舆情未及时处理的不得分。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畅通社会监督渠道，开通“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12350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”安全生产举报电话或专门的“安全生产月”活动热线电话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（四）创造性地开展安全生产宣教活动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创新形式、丰富内容，自主开展安全月专题宣教活动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需具体说明活动开展时间、具体内容、对象范围、实际效果。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（五）“安全生产月”活动与日常宣教活动相结合，做到“以月促年”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组织开展常年性的宣教活动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5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未落实的不得分。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172" w:type="dxa"/>
            <w:gridSpan w:val="3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小计分值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100</w:t>
            </w:r>
          </w:p>
        </w:tc>
        <w:tc>
          <w:tcPr>
            <w:tcW w:w="6559" w:type="dxa"/>
            <w:gridSpan w:val="2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1500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三、“安全生产贵州行”或“安全生产行业行”活动开展情况</w:t>
            </w:r>
          </w:p>
        </w:tc>
        <w:tc>
          <w:tcPr>
            <w:tcW w:w="2127" w:type="dxa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（一）扎实深入开展常态化贵州行或行业行活动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开展安全隐患曝光行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出动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个检查组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深入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家企业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发现并治理非法违法、违规违章行为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项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推动企业排查隐患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项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开展典型经验专题行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开展典型经验专题行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开展科技强安专题行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开展科技强安专题行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500" w:type="dxa"/>
            <w:vMerge w:val="continue"/>
            <w:vAlign w:val="center"/>
          </w:tcPr>
          <w:p>
            <w:pPr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4.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开展应急演练专题行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参演单位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家</w:t>
            </w:r>
            <w:r>
              <w:rPr>
                <w:rFonts w:ascii="仿宋_GB2312" w:hAnsi="宋体" w:eastAsia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参与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人次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1500" w:type="dxa"/>
            <w:vAlign w:val="center"/>
          </w:tcPr>
          <w:p>
            <w:pPr>
              <w:spacing w:line="440" w:lineRule="exact"/>
              <w:jc w:val="left"/>
              <w:rPr>
                <w:rFonts w:ascii="仿宋_GB2312" w:hAnsi="宋体" w:eastAsia="仿宋_GB2312"/>
                <w:spacing w:val="-14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spacing w:val="-14"/>
                <w:kern w:val="0"/>
                <w:sz w:val="22"/>
                <w:szCs w:val="22"/>
              </w:rPr>
              <w:t>三、“安全生产贵州行”或“安全生产行业行”活动开展情况</w:t>
            </w:r>
          </w:p>
        </w:tc>
        <w:tc>
          <w:tcPr>
            <w:tcW w:w="2127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（二）加大新闻宣传力度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动员各类媒体对本地区、本部门、本单位对今年安全生产月活动进行专题宣传报道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20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未提供数据不得分。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在各类媒体发表稿件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篇；在安全生产手机信息报发布信息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条；在官方微博、微信发布信息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条。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500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72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小计分值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100</w:t>
            </w:r>
          </w:p>
        </w:tc>
        <w:tc>
          <w:tcPr>
            <w:tcW w:w="6559" w:type="dxa"/>
            <w:gridSpan w:val="2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3627" w:type="dxa"/>
            <w:gridSpan w:val="2"/>
            <w:vMerge w:val="restart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四、“安全生产月”活动一个周期年（上年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7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月至当年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6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月）内安全生产调度统计情况</w:t>
            </w: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（只考核各地安委会）</w:t>
            </w: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（一）特别重大事故起数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70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未发生特别重大事故得满分；</w:t>
            </w: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发生特别重大事故的地区实行“一票否决”，不推荐全国安全生产月活动先进单位评选。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  <w:jc w:val="center"/>
        </w:trPr>
        <w:tc>
          <w:tcPr>
            <w:tcW w:w="3627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（二）重大事故起数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30</w:t>
            </w:r>
          </w:p>
        </w:tc>
        <w:tc>
          <w:tcPr>
            <w:tcW w:w="3317" w:type="dxa"/>
            <w:vAlign w:val="center"/>
          </w:tcPr>
          <w:p>
            <w:pPr>
              <w:widowControl/>
              <w:spacing w:line="440" w:lineRule="exact"/>
              <w:rPr>
                <w:rFonts w:ascii="仿宋_GB2312" w:hAnsi="宋体" w:eastAsia="仿宋_GB2312"/>
                <w:spacing w:val="-14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spacing w:val="-14"/>
                <w:kern w:val="0"/>
                <w:sz w:val="22"/>
                <w:szCs w:val="22"/>
              </w:rPr>
              <w:t>未发生重大事故得满分；每发生</w:t>
            </w:r>
            <w:r>
              <w:rPr>
                <w:rFonts w:ascii="仿宋_GB2312" w:hAnsi="宋体" w:eastAsia="仿宋_GB2312" w:cs="仿宋_GB2312"/>
                <w:spacing w:val="-14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宋体" w:eastAsia="仿宋_GB2312" w:cs="仿宋_GB2312"/>
                <w:spacing w:val="-16"/>
                <w:kern w:val="0"/>
                <w:sz w:val="22"/>
                <w:szCs w:val="22"/>
              </w:rPr>
              <w:t>起重大事故扣</w:t>
            </w:r>
            <w:r>
              <w:rPr>
                <w:rFonts w:ascii="仿宋_GB2312" w:hAnsi="宋体" w:eastAsia="仿宋_GB2312" w:cs="仿宋_GB2312"/>
                <w:spacing w:val="-16"/>
                <w:kern w:val="0"/>
                <w:sz w:val="22"/>
                <w:szCs w:val="22"/>
              </w:rPr>
              <w:t>10</w:t>
            </w:r>
            <w:r>
              <w:rPr>
                <w:rFonts w:hint="eastAsia" w:ascii="仿宋_GB2312" w:hAnsi="宋体" w:eastAsia="仿宋_GB2312" w:cs="仿宋_GB2312"/>
                <w:spacing w:val="-16"/>
                <w:kern w:val="0"/>
                <w:sz w:val="22"/>
                <w:szCs w:val="22"/>
              </w:rPr>
              <w:t>分，扣满</w:t>
            </w:r>
            <w:r>
              <w:rPr>
                <w:rFonts w:ascii="仿宋_GB2312" w:hAnsi="宋体" w:eastAsia="仿宋_GB2312" w:cs="仿宋_GB2312"/>
                <w:spacing w:val="-16"/>
                <w:kern w:val="0"/>
                <w:sz w:val="22"/>
                <w:szCs w:val="22"/>
              </w:rPr>
              <w:t>30</w:t>
            </w:r>
            <w:r>
              <w:rPr>
                <w:rFonts w:hint="eastAsia" w:ascii="仿宋_GB2312" w:hAnsi="宋体" w:eastAsia="仿宋_GB2312" w:cs="仿宋_GB2312"/>
                <w:spacing w:val="-16"/>
                <w:kern w:val="0"/>
                <w:sz w:val="22"/>
                <w:szCs w:val="22"/>
              </w:rPr>
              <w:t>分为止。</w:t>
            </w:r>
            <w:r>
              <w:rPr>
                <w:rFonts w:hint="eastAsia" w:ascii="仿宋_GB2312" w:hAnsi="宋体" w:eastAsia="仿宋_GB2312" w:cs="仿宋_GB2312"/>
                <w:b/>
                <w:bCs/>
                <w:spacing w:val="-16"/>
                <w:kern w:val="0"/>
                <w:sz w:val="22"/>
                <w:szCs w:val="22"/>
              </w:rPr>
              <w:t>发生重大事故的地区，不推荐全国安全生产月活动先进单位评选。</w:t>
            </w:r>
          </w:p>
        </w:tc>
        <w:tc>
          <w:tcPr>
            <w:tcW w:w="3242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□是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(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起重大事故）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 xml:space="preserve">    </w:t>
            </w: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2"/>
                <w:szCs w:val="22"/>
              </w:rPr>
              <w:t>□否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172" w:type="dxa"/>
            <w:gridSpan w:val="3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小计分值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仿宋_GB2312"/>
                <w:kern w:val="0"/>
                <w:sz w:val="22"/>
                <w:szCs w:val="22"/>
              </w:rPr>
              <w:t>100</w:t>
            </w:r>
          </w:p>
        </w:tc>
        <w:tc>
          <w:tcPr>
            <w:tcW w:w="6559" w:type="dxa"/>
            <w:gridSpan w:val="2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hAnsi="宋体" w:eastAsia="仿宋_GB2312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kern w:val="0"/>
                <w:sz w:val="22"/>
                <w:szCs w:val="22"/>
              </w:rPr>
              <w:t>小计得分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left"/>
              <w:rPr>
                <w:rFonts w:ascii="仿宋_GB2312" w:hAnsi="宋体" w:eastAsia="仿宋_GB2312"/>
                <w:kern w:val="0"/>
                <w:sz w:val="22"/>
                <w:szCs w:val="22"/>
              </w:rPr>
            </w:pPr>
          </w:p>
        </w:tc>
      </w:tr>
    </w:tbl>
    <w:p>
      <w:pPr>
        <w:spacing w:line="560" w:lineRule="exact"/>
        <w:rPr>
          <w:rFonts w:ascii="仿宋_GB2312" w:hAnsi="宋体" w:eastAsia="仿宋_GB2312"/>
          <w:kern w:val="0"/>
          <w:sz w:val="24"/>
          <w:szCs w:val="24"/>
        </w:rPr>
      </w:pPr>
    </w:p>
    <w:p>
      <w:pPr>
        <w:spacing w:line="560" w:lineRule="exact"/>
        <w:rPr>
          <w:rFonts w:ascii="仿宋_GB2312" w:hAnsi="宋体" w:eastAsia="仿宋_GB2312"/>
          <w:kern w:val="0"/>
          <w:sz w:val="24"/>
          <w:szCs w:val="24"/>
        </w:rPr>
      </w:pPr>
    </w:p>
    <w:p>
      <w:pPr>
        <w:spacing w:line="560" w:lineRule="exact"/>
      </w:pPr>
      <w:r>
        <w:rPr>
          <w:rFonts w:hint="eastAsia" w:ascii="仿宋_GB2312" w:hAnsi="宋体" w:eastAsia="仿宋_GB2312" w:cs="仿宋_GB2312"/>
          <w:kern w:val="0"/>
          <w:sz w:val="24"/>
          <w:szCs w:val="24"/>
        </w:rPr>
        <w:t>填表人：</w:t>
      </w:r>
      <w:r>
        <w:rPr>
          <w:rFonts w:ascii="仿宋_GB2312" w:hAnsi="宋体" w:eastAsia="仿宋_GB2312" w:cs="仿宋_GB2312"/>
          <w:kern w:val="0"/>
          <w:sz w:val="24"/>
          <w:szCs w:val="24"/>
        </w:rPr>
        <w:t xml:space="preserve">                                                         </w:t>
      </w:r>
      <w:r>
        <w:rPr>
          <w:rFonts w:hint="eastAsia" w:ascii="仿宋_GB2312" w:hAnsi="宋体" w:eastAsia="仿宋_GB2312" w:cs="仿宋_GB2312"/>
          <w:kern w:val="0"/>
          <w:sz w:val="24"/>
          <w:szCs w:val="24"/>
        </w:rPr>
        <w:t>联系电话：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2A0CA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2016-06-12T07:53:41Z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