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Lines="0" w:after="0" w:line="360" w:lineRule="auto"/>
        <w:rPr>
          <w:rFonts w:hint="eastAsia" w:ascii="仿宋_GB2312" w:hAnsi="宋体" w:eastAsia="仿宋_GB2312"/>
          <w:sz w:val="32"/>
        </w:rPr>
      </w:pPr>
      <w:r>
        <w:rPr>
          <w:rFonts w:hint="eastAsia" w:ascii="仿宋_GB2312" w:hAnsi="宋体" w:eastAsia="仿宋_GB2312"/>
          <w:sz w:val="32"/>
        </w:rPr>
        <w:t>附件3：</w:t>
      </w:r>
    </w:p>
    <w:p>
      <w:pPr>
        <w:snapToGrid/>
        <w:spacing w:beforeLines="0" w:after="0" w:line="360" w:lineRule="auto"/>
        <w:jc w:val="center"/>
        <w:rPr>
          <w:rFonts w:hint="eastAsia" w:ascii="黑体" w:hAnsi="宋体" w:eastAsia="黑体"/>
          <w:sz w:val="32"/>
        </w:rPr>
      </w:pPr>
      <w:bookmarkStart w:id="0" w:name="_GoBack"/>
      <w:r>
        <w:rPr>
          <w:rFonts w:hint="eastAsia" w:ascii="黑体" w:hAnsi="宋体" w:eastAsia="黑体"/>
          <w:sz w:val="32"/>
        </w:rPr>
        <w:t>党政一把手论安全</w:t>
      </w:r>
    </w:p>
    <w:bookmarkEnd w:id="0"/>
    <w:tbl>
      <w:tblPr>
        <w:tblStyle w:val="3"/>
        <w:tblW w:w="85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"/>
        <w:gridCol w:w="3109"/>
        <w:gridCol w:w="728"/>
        <w:gridCol w:w="3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8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="0"/>
              <w:rPr>
                <w:rFonts w:hint="eastAsia" w:ascii="仿宋_GB2312" w:hAnsi="宋体" w:eastAsia="仿宋_GB2312"/>
                <w:sz w:val="32"/>
              </w:rPr>
            </w:pPr>
            <w:r>
              <w:rPr>
                <w:rFonts w:hint="eastAsia" w:ascii="仿宋_GB2312" w:hAnsi="宋体" w:eastAsia="仿宋_GB2312"/>
                <w:sz w:val="32"/>
              </w:rPr>
              <w:t>单位名称：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878" w:hRule="atLeast"/>
        </w:trPr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="0"/>
              <w:rPr>
                <w:rFonts w:hint="eastAsia" w:ascii="仿宋_GB2312" w:hAnsi="宋体" w:eastAsia="仿宋_GB2312"/>
                <w:sz w:val="32"/>
              </w:rPr>
            </w:pPr>
            <w:r>
              <w:rPr>
                <w:rFonts w:hint="eastAsia" w:ascii="仿宋_GB2312" w:hAnsi="宋体" w:eastAsia="仿宋_GB2312"/>
                <w:sz w:val="32"/>
              </w:rPr>
              <w:t>姓名</w:t>
            </w:r>
          </w:p>
        </w:tc>
        <w:tc>
          <w:tcPr>
            <w:tcW w:w="3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="0"/>
              <w:jc w:val="center"/>
              <w:rPr>
                <w:rFonts w:hint="eastAsia" w:ascii="仿宋_GB2312" w:hAnsi="宋体" w:eastAsia="仿宋_GB2312"/>
                <w:sz w:val="32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="0"/>
              <w:rPr>
                <w:rFonts w:hint="eastAsia" w:ascii="仿宋_GB2312" w:hAnsi="宋体" w:eastAsia="仿宋_GB2312"/>
                <w:sz w:val="32"/>
              </w:rPr>
            </w:pPr>
            <w:r>
              <w:rPr>
                <w:rFonts w:hint="eastAsia" w:ascii="仿宋_GB2312" w:hAnsi="宋体" w:eastAsia="仿宋_GB2312"/>
                <w:sz w:val="32"/>
              </w:rPr>
              <w:t>职务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="0"/>
              <w:jc w:val="center"/>
              <w:rPr>
                <w:rFonts w:hint="eastAsia" w:ascii="仿宋_GB2312" w:hAnsi="宋体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6" w:hRule="atLeast"/>
        </w:trPr>
        <w:tc>
          <w:tcPr>
            <w:tcW w:w="8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spacing w:beforeLines="0" w:after="0"/>
              <w:jc w:val="both"/>
              <w:rPr>
                <w:rFonts w:hint="eastAsia" w:ascii="仿宋_GB2312" w:hAnsi="宋体" w:eastAsia="仿宋_GB2312"/>
                <w:sz w:val="32"/>
              </w:rPr>
            </w:pPr>
            <w:r>
              <w:rPr>
                <w:rFonts w:hint="eastAsia" w:ascii="仿宋_GB2312" w:hAnsi="宋体" w:eastAsia="仿宋_GB2312"/>
                <w:sz w:val="32"/>
              </w:rPr>
              <w:t>内容：（限100字）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5F30E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napToGrid w:val="0"/>
      <w:spacing w:beforeLines="0" w:after="200"/>
    </w:pPr>
    <w:rPr>
      <w:rFonts w:hint="eastAsia" w:ascii="Tahoma" w:hAnsi="Tahoma" w:eastAsia="微软雅黑"/>
      <w:sz w:val="22"/>
      <w:szCs w:val="22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2016-05-05T03:38:25Z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