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widowControl/>
        <w:shd w:val="clear" w:color="auto" w:fill="FFFFFF"/>
        <w:spacing w:line="360" w:lineRule="atLeast"/>
        <w:jc w:val="left"/>
        <w:rPr>
          <w:rFonts w:eastAsia="黑体"/>
          <w:kern w:val="0"/>
          <w:sz w:val="36"/>
          <w:szCs w:val="36"/>
        </w:rPr>
      </w:pPr>
      <w:r>
        <w:rPr>
          <w:rFonts w:hint="eastAsia" w:eastAsia="仿宋_GB2312"/>
          <w:sz w:val="32"/>
          <w:szCs w:val="21"/>
        </w:rPr>
        <w:t>附件</w:t>
      </w:r>
      <w:r>
        <w:rPr>
          <w:rFonts w:eastAsia="仿宋_GB2312"/>
          <w:sz w:val="32"/>
          <w:szCs w:val="21"/>
        </w:rPr>
        <w:t>6</w:t>
      </w:r>
    </w:p>
    <w:p>
      <w:pPr>
        <w:widowControl/>
        <w:spacing w:line="360" w:lineRule="auto"/>
        <w:ind w:left="1"/>
        <w:jc w:val="center"/>
        <w:rPr>
          <w:rFonts w:eastAsia="黑体"/>
          <w:kern w:val="0"/>
          <w:sz w:val="36"/>
          <w:szCs w:val="36"/>
        </w:rPr>
      </w:pPr>
      <w:r>
        <w:rPr>
          <w:rFonts w:hint="eastAsia" w:eastAsia="黑体"/>
          <w:kern w:val="0"/>
          <w:sz w:val="36"/>
          <w:szCs w:val="36"/>
        </w:rPr>
        <w:t>水利</w:t>
      </w:r>
      <w:r>
        <w:rPr>
          <w:rFonts w:eastAsia="黑体"/>
          <w:kern w:val="0"/>
          <w:sz w:val="36"/>
          <w:szCs w:val="36"/>
        </w:rPr>
        <w:t>“</w:t>
      </w:r>
      <w:r>
        <w:rPr>
          <w:rFonts w:hint="eastAsia" w:eastAsia="黑体"/>
          <w:kern w:val="0"/>
          <w:sz w:val="36"/>
          <w:szCs w:val="36"/>
        </w:rPr>
        <w:t>安全生产月</w:t>
      </w:r>
      <w:r>
        <w:rPr>
          <w:rFonts w:eastAsia="黑体"/>
          <w:kern w:val="0"/>
          <w:sz w:val="36"/>
          <w:szCs w:val="36"/>
        </w:rPr>
        <w:t>”</w:t>
      </w:r>
      <w:r>
        <w:rPr>
          <w:rFonts w:hint="eastAsia" w:eastAsia="黑体"/>
          <w:kern w:val="0"/>
          <w:sz w:val="36"/>
          <w:szCs w:val="36"/>
        </w:rPr>
        <w:t>活动情况统计表</w:t>
      </w:r>
    </w:p>
    <w:tbl>
      <w:tblPr>
        <w:tblStyle w:val="3"/>
        <w:tblW w:w="83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0"/>
        <w:gridCol w:w="3023"/>
        <w:gridCol w:w="3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338" w:type="dxa"/>
            <w:gridSpan w:val="3"/>
            <w:tcBorders>
              <w:top w:val="nil"/>
              <w:left w:val="nil"/>
              <w:right w:val="nil"/>
            </w:tcBorders>
            <w:vAlign w:val="center"/>
          </w:tcPr>
          <w:p>
            <w:pPr>
              <w:widowControl/>
              <w:spacing w:line="360" w:lineRule="auto"/>
              <w:rPr>
                <w:rFonts w:eastAsia="仿宋_GB2312"/>
                <w:sz w:val="24"/>
              </w:rPr>
            </w:pPr>
            <w:r>
              <w:rPr>
                <w:rFonts w:hint="eastAsia" w:eastAsia="仿宋_GB2312"/>
                <w:sz w:val="24"/>
              </w:rPr>
              <w:t>填报单位：（盖章）</w:t>
            </w:r>
            <w:r>
              <w:rPr>
                <w:rFonts w:eastAsia="仿宋_GB2312"/>
                <w:sz w:val="24"/>
              </w:rPr>
              <w:t xml:space="preserve">                           </w:t>
            </w:r>
            <w:r>
              <w:rPr>
                <w:rFonts w:hint="eastAsia" w:eastAsia="仿宋_GB2312"/>
                <w:sz w:val="24"/>
              </w:rPr>
              <w:t>填报人：</w:t>
            </w:r>
            <w:r>
              <w:rPr>
                <w:rFonts w:eastAsia="仿宋_GB2312"/>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restart"/>
            <w:vAlign w:val="center"/>
          </w:tcPr>
          <w:p>
            <w:pPr>
              <w:widowControl/>
              <w:snapToGrid w:val="0"/>
              <w:rPr>
                <w:rFonts w:eastAsia="仿宋_GB2312"/>
                <w:szCs w:val="21"/>
              </w:rPr>
            </w:pPr>
            <w:r>
              <w:rPr>
                <w:rFonts w:hint="eastAsia" w:eastAsia="仿宋_GB2312"/>
                <w:szCs w:val="21"/>
              </w:rPr>
              <w:t>安全生产宣传</w:t>
            </w:r>
          </w:p>
        </w:tc>
        <w:tc>
          <w:tcPr>
            <w:tcW w:w="3023" w:type="dxa"/>
            <w:vAlign w:val="center"/>
          </w:tcPr>
          <w:p>
            <w:pPr>
              <w:widowControl/>
              <w:snapToGrid w:val="0"/>
              <w:rPr>
                <w:rFonts w:eastAsia="仿宋_GB2312"/>
                <w:szCs w:val="21"/>
              </w:rPr>
            </w:pPr>
            <w:r>
              <w:rPr>
                <w:rFonts w:hint="eastAsia" w:eastAsia="仿宋_GB2312"/>
                <w:szCs w:val="21"/>
              </w:rPr>
              <w:t>制作宣教作品（部</w:t>
            </w:r>
            <w:r>
              <w:rPr>
                <w:rFonts w:eastAsia="仿宋_GB2312"/>
                <w:szCs w:val="21"/>
              </w:rPr>
              <w:t>/</w:t>
            </w:r>
            <w:r>
              <w:rPr>
                <w:rFonts w:hint="eastAsia" w:eastAsia="仿宋_GB2312"/>
                <w:szCs w:val="21"/>
              </w:rPr>
              <w:t>张）</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省部级干部安全生产宣讲（场）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企业家谈安全生产（场）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宣讲团下基层宣讲（场）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举办在线访谈（场）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举办论坛（场）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发表评论、体会文章（篇）</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开设专版专栏（期）</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发放宣传资料（份）</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各类展板、标语（块）</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接受群众咨询（人次）</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开展演讲比赛（场）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6"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参与安全文化精品网上博览会，报送安全文化作品（部）</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在官方微博、微信、手机报发布信息（条</w:t>
            </w:r>
            <w:r>
              <w:rPr>
                <w:rFonts w:eastAsia="仿宋_GB2312"/>
                <w:szCs w:val="21"/>
              </w:rPr>
              <w:t>)</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restart"/>
            <w:vAlign w:val="center"/>
          </w:tcPr>
          <w:p>
            <w:pPr>
              <w:widowControl/>
              <w:jc w:val="left"/>
              <w:rPr>
                <w:rFonts w:eastAsia="仿宋_GB2312"/>
                <w:szCs w:val="21"/>
              </w:rPr>
            </w:pPr>
            <w:r>
              <w:rPr>
                <w:rFonts w:hint="eastAsia" w:eastAsia="仿宋_GB2312"/>
                <w:szCs w:val="21"/>
              </w:rPr>
              <w:t>安全生产教育</w:t>
            </w:r>
          </w:p>
        </w:tc>
        <w:tc>
          <w:tcPr>
            <w:tcW w:w="3023" w:type="dxa"/>
            <w:vAlign w:val="center"/>
          </w:tcPr>
          <w:p>
            <w:pPr>
              <w:widowControl/>
              <w:snapToGrid w:val="0"/>
              <w:rPr>
                <w:rFonts w:eastAsia="仿宋_GB2312"/>
                <w:szCs w:val="21"/>
              </w:rPr>
            </w:pPr>
            <w:r>
              <w:rPr>
                <w:rFonts w:hint="eastAsia" w:eastAsia="仿宋_GB2312"/>
                <w:szCs w:val="21"/>
              </w:rPr>
              <w:t>开展警示教育（期</w:t>
            </w:r>
            <w:r>
              <w:rPr>
                <w:rFonts w:eastAsia="仿宋_GB2312"/>
                <w:szCs w:val="21"/>
              </w:rPr>
              <w:t>/</w:t>
            </w:r>
            <w:r>
              <w:rPr>
                <w:rFonts w:hint="eastAsia" w:eastAsia="仿宋_GB2312"/>
                <w:szCs w:val="21"/>
              </w:rPr>
              <w:t>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知识讲座（场</w:t>
            </w:r>
            <w:r>
              <w:rPr>
                <w:rFonts w:eastAsia="仿宋_GB2312"/>
                <w:szCs w:val="21"/>
              </w:rPr>
              <w:t>/</w:t>
            </w:r>
            <w:r>
              <w:rPr>
                <w:rFonts w:hint="eastAsia" w:eastAsia="仿宋_GB2312"/>
                <w:szCs w:val="21"/>
              </w:rPr>
              <w:t>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开展知识竞赛（场）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举办安全展览（场）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文艺演出（场）</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主流媒体发表稿件（篇）</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restart"/>
            <w:vAlign w:val="center"/>
          </w:tcPr>
          <w:p>
            <w:pPr>
              <w:widowControl/>
              <w:snapToGrid w:val="0"/>
              <w:rPr>
                <w:rFonts w:eastAsia="仿宋_GB2312"/>
                <w:szCs w:val="21"/>
              </w:rPr>
            </w:pPr>
            <w:r>
              <w:rPr>
                <w:rFonts w:hint="eastAsia" w:eastAsia="仿宋_GB2312"/>
                <w:szCs w:val="21"/>
              </w:rPr>
              <w:t>安全生产执法</w:t>
            </w:r>
          </w:p>
        </w:tc>
        <w:tc>
          <w:tcPr>
            <w:tcW w:w="3023" w:type="dxa"/>
            <w:vAlign w:val="center"/>
          </w:tcPr>
          <w:p>
            <w:pPr>
              <w:widowControl/>
              <w:snapToGrid w:val="0"/>
              <w:rPr>
                <w:rFonts w:eastAsia="仿宋_GB2312"/>
                <w:szCs w:val="21"/>
              </w:rPr>
            </w:pPr>
            <w:r>
              <w:rPr>
                <w:rFonts w:hint="eastAsia" w:eastAsia="仿宋_GB2312"/>
                <w:szCs w:val="21"/>
              </w:rPr>
              <w:t>出动检查组（个）</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检查企业数（个）</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2"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发现并治理非法违法、违规违章行（项）</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执法（项）</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Align w:val="center"/>
          </w:tcPr>
          <w:p>
            <w:pPr>
              <w:widowControl/>
              <w:snapToGrid w:val="0"/>
              <w:rPr>
                <w:rFonts w:eastAsia="仿宋_GB2312"/>
                <w:szCs w:val="21"/>
              </w:rPr>
            </w:pPr>
            <w:r>
              <w:rPr>
                <w:rFonts w:hint="eastAsia" w:eastAsia="仿宋_GB2312"/>
                <w:szCs w:val="21"/>
              </w:rPr>
              <w:t>应急救援演练</w:t>
            </w:r>
          </w:p>
        </w:tc>
        <w:tc>
          <w:tcPr>
            <w:tcW w:w="3023" w:type="dxa"/>
            <w:vAlign w:val="center"/>
          </w:tcPr>
          <w:p>
            <w:pPr>
              <w:widowControl/>
              <w:snapToGrid w:val="0"/>
              <w:rPr>
                <w:rFonts w:eastAsia="仿宋_GB2312"/>
                <w:szCs w:val="21"/>
              </w:rPr>
            </w:pPr>
            <w:r>
              <w:rPr>
                <w:rFonts w:eastAsia="仿宋_GB2312"/>
                <w:szCs w:val="21"/>
              </w:rPr>
              <w:t>(</w:t>
            </w:r>
            <w:r>
              <w:rPr>
                <w:rFonts w:hint="eastAsia" w:eastAsia="仿宋_GB2312"/>
                <w:szCs w:val="21"/>
              </w:rPr>
              <w:t>次</w:t>
            </w:r>
            <w:r>
              <w:rPr>
                <w:rFonts w:eastAsia="仿宋_GB2312"/>
                <w:szCs w:val="21"/>
              </w:rPr>
              <w:t>/</w:t>
            </w:r>
            <w:r>
              <w:rPr>
                <w:rFonts w:hint="eastAsia" w:eastAsia="仿宋_GB2312"/>
                <w:szCs w:val="21"/>
              </w:rPr>
              <w:t>人</w:t>
            </w:r>
            <w:r>
              <w:rPr>
                <w:rFonts w:eastAsia="仿宋_GB2312"/>
                <w:szCs w:val="21"/>
              </w:rPr>
              <w:t>)</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restart"/>
            <w:vAlign w:val="center"/>
          </w:tcPr>
          <w:p>
            <w:pPr>
              <w:widowControl/>
              <w:snapToGrid w:val="0"/>
              <w:rPr>
                <w:rFonts w:eastAsia="仿宋_GB2312"/>
                <w:szCs w:val="21"/>
              </w:rPr>
            </w:pPr>
            <w:r>
              <w:rPr>
                <w:rFonts w:hint="eastAsia" w:eastAsia="仿宋_GB2312"/>
                <w:szCs w:val="21"/>
              </w:rPr>
              <w:t>安全生产万里行</w:t>
            </w:r>
          </w:p>
        </w:tc>
        <w:tc>
          <w:tcPr>
            <w:tcW w:w="3023" w:type="dxa"/>
            <w:vAlign w:val="center"/>
          </w:tcPr>
          <w:p>
            <w:pPr>
              <w:widowControl/>
              <w:snapToGrid w:val="0"/>
              <w:rPr>
                <w:rFonts w:eastAsia="仿宋_GB2312"/>
                <w:szCs w:val="21"/>
              </w:rPr>
            </w:pPr>
            <w:r>
              <w:rPr>
                <w:rFonts w:hint="eastAsia" w:eastAsia="仿宋_GB2312"/>
                <w:szCs w:val="21"/>
              </w:rPr>
              <w:t>开展安全隐患曝光行</w:t>
            </w:r>
            <w:r>
              <w:rPr>
                <w:rFonts w:eastAsia="仿宋_GB2312"/>
                <w:szCs w:val="21"/>
              </w:rPr>
              <w:t>(</w:t>
            </w:r>
            <w:r>
              <w:rPr>
                <w:rFonts w:hint="eastAsia" w:eastAsia="仿宋_GB2312"/>
                <w:szCs w:val="21"/>
              </w:rPr>
              <w:t>次）</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开展典型经验专题行</w:t>
            </w:r>
            <w:r>
              <w:rPr>
                <w:rFonts w:eastAsia="仿宋_GB2312"/>
                <w:szCs w:val="21"/>
              </w:rPr>
              <w:t>(</w:t>
            </w:r>
            <w:r>
              <w:rPr>
                <w:rFonts w:hint="eastAsia" w:eastAsia="仿宋_GB2312"/>
                <w:szCs w:val="21"/>
              </w:rPr>
              <w:t>次</w:t>
            </w:r>
            <w:r>
              <w:rPr>
                <w:rFonts w:eastAsia="仿宋_GB2312"/>
                <w:szCs w:val="21"/>
              </w:rPr>
              <w:t>)</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开展科技强安专题行</w:t>
            </w:r>
            <w:r>
              <w:rPr>
                <w:rFonts w:eastAsia="仿宋_GB2312"/>
                <w:szCs w:val="21"/>
              </w:rPr>
              <w:t>(</w:t>
            </w:r>
            <w:r>
              <w:rPr>
                <w:rFonts w:hint="eastAsia" w:eastAsia="仿宋_GB2312"/>
                <w:szCs w:val="21"/>
              </w:rPr>
              <w:t>次</w:t>
            </w:r>
            <w:r>
              <w:rPr>
                <w:rFonts w:eastAsia="仿宋_GB2312"/>
                <w:szCs w:val="21"/>
              </w:rPr>
              <w:t>)</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restart"/>
            <w:vAlign w:val="center"/>
          </w:tcPr>
          <w:p>
            <w:pPr>
              <w:widowControl/>
              <w:snapToGrid w:val="0"/>
              <w:rPr>
                <w:rFonts w:eastAsia="仿宋_GB2312"/>
                <w:szCs w:val="21"/>
              </w:rPr>
            </w:pPr>
            <w:r>
              <w:rPr>
                <w:rFonts w:hint="eastAsia" w:eastAsia="仿宋_GB2312"/>
                <w:szCs w:val="21"/>
              </w:rPr>
              <w:t>隐患排查治理</w:t>
            </w:r>
          </w:p>
        </w:tc>
        <w:tc>
          <w:tcPr>
            <w:tcW w:w="3023" w:type="dxa"/>
            <w:vAlign w:val="center"/>
          </w:tcPr>
          <w:p>
            <w:pPr>
              <w:widowControl/>
              <w:snapToGrid w:val="0"/>
              <w:rPr>
                <w:rFonts w:eastAsia="仿宋_GB2312"/>
                <w:szCs w:val="21"/>
              </w:rPr>
            </w:pPr>
            <w:r>
              <w:rPr>
                <w:rFonts w:hint="eastAsia" w:eastAsia="仿宋_GB2312"/>
                <w:szCs w:val="21"/>
              </w:rPr>
              <w:t>出动检查组（个）</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检查企业数（家）</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snapToGrid w:val="0"/>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排查出隐患数（处）</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exact"/>
          <w:jc w:val="center"/>
        </w:trPr>
        <w:tc>
          <w:tcPr>
            <w:tcW w:w="1930" w:type="dxa"/>
            <w:vMerge w:val="continue"/>
            <w:vAlign w:val="center"/>
          </w:tcPr>
          <w:p>
            <w:pPr>
              <w:widowControl/>
              <w:jc w:val="left"/>
              <w:rPr>
                <w:rFonts w:eastAsia="仿宋_GB2312"/>
                <w:szCs w:val="21"/>
              </w:rPr>
            </w:pPr>
          </w:p>
        </w:tc>
        <w:tc>
          <w:tcPr>
            <w:tcW w:w="3023" w:type="dxa"/>
            <w:vAlign w:val="center"/>
          </w:tcPr>
          <w:p>
            <w:pPr>
              <w:widowControl/>
              <w:snapToGrid w:val="0"/>
              <w:rPr>
                <w:rFonts w:eastAsia="仿宋_GB2312"/>
                <w:szCs w:val="21"/>
              </w:rPr>
            </w:pPr>
            <w:r>
              <w:rPr>
                <w:rFonts w:hint="eastAsia" w:eastAsia="仿宋_GB2312"/>
                <w:szCs w:val="21"/>
              </w:rPr>
              <w:t>隐患整改率（</w:t>
            </w:r>
            <w:r>
              <w:rPr>
                <w:rFonts w:eastAsia="仿宋_GB2312"/>
                <w:szCs w:val="21"/>
              </w:rPr>
              <w:t>%</w:t>
            </w:r>
            <w:r>
              <w:rPr>
                <w:rFonts w:hint="eastAsia" w:eastAsia="仿宋_GB2312"/>
                <w:szCs w:val="21"/>
              </w:rPr>
              <w:t>）</w:t>
            </w:r>
          </w:p>
        </w:tc>
        <w:tc>
          <w:tcPr>
            <w:tcW w:w="3385" w:type="dxa"/>
            <w:vAlign w:val="center"/>
          </w:tcPr>
          <w:p>
            <w:pPr>
              <w:widowControl/>
              <w:snapToGrid w:val="0"/>
              <w:rPr>
                <w:rFonts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930" w:type="dxa"/>
            <w:vAlign w:val="center"/>
          </w:tcPr>
          <w:p>
            <w:pPr>
              <w:widowControl/>
              <w:snapToGrid w:val="0"/>
              <w:rPr>
                <w:rFonts w:eastAsia="仿宋_GB2312"/>
                <w:szCs w:val="21"/>
              </w:rPr>
            </w:pPr>
            <w:r>
              <w:rPr>
                <w:rFonts w:hint="eastAsia" w:eastAsia="仿宋_GB2312"/>
                <w:szCs w:val="21"/>
              </w:rPr>
              <w:t>其他特色宣传教育活动</w:t>
            </w:r>
          </w:p>
        </w:tc>
        <w:tc>
          <w:tcPr>
            <w:tcW w:w="6408" w:type="dxa"/>
            <w:gridSpan w:val="2"/>
            <w:vAlign w:val="center"/>
          </w:tcPr>
          <w:p>
            <w:pPr>
              <w:widowControl/>
              <w:jc w:val="left"/>
              <w:rPr>
                <w:rFonts w:eastAsia="仿宋_GB2312"/>
                <w:szCs w:val="21"/>
              </w:rPr>
            </w:pPr>
          </w:p>
          <w:p>
            <w:pPr>
              <w:widowControl/>
              <w:jc w:val="left"/>
              <w:rPr>
                <w:rFonts w:eastAsia="仿宋_GB2312"/>
                <w:szCs w:val="21"/>
              </w:rPr>
            </w:pPr>
          </w:p>
        </w:tc>
      </w:tr>
    </w:tbl>
    <w:p>
      <w:pPr>
        <w:widowControl/>
        <w:snapToGrid w:val="0"/>
        <w:spacing w:line="360" w:lineRule="auto"/>
        <w:ind w:firstLine="480" w:firstLineChars="200"/>
        <w:rPr>
          <w:rFonts w:eastAsia="仿宋_GB2312"/>
          <w:sz w:val="24"/>
        </w:rPr>
      </w:pPr>
      <w:r>
        <w:rPr>
          <w:rFonts w:hint="eastAsia" w:eastAsia="仿宋_GB2312"/>
          <w:sz w:val="24"/>
        </w:rPr>
        <w:t>注：</w:t>
      </w:r>
      <w:r>
        <w:rPr>
          <w:rFonts w:eastAsia="仿宋_GB2312"/>
          <w:sz w:val="24"/>
        </w:rPr>
        <w:t>1</w:t>
      </w:r>
      <w:r>
        <w:rPr>
          <w:rFonts w:hint="eastAsia" w:eastAsia="仿宋_GB2312"/>
          <w:sz w:val="24"/>
        </w:rPr>
        <w:t>、本表统计时间为</w:t>
      </w:r>
      <w:r>
        <w:rPr>
          <w:rFonts w:eastAsia="仿宋_GB2312"/>
          <w:sz w:val="24"/>
        </w:rPr>
        <w:t>“</w:t>
      </w:r>
      <w:r>
        <w:rPr>
          <w:rFonts w:hint="eastAsia" w:eastAsia="仿宋_GB2312"/>
          <w:sz w:val="24"/>
        </w:rPr>
        <w:t>安全生产月</w:t>
      </w:r>
      <w:r>
        <w:rPr>
          <w:rFonts w:eastAsia="仿宋_GB2312"/>
          <w:sz w:val="24"/>
        </w:rPr>
        <w:t>”</w:t>
      </w:r>
      <w:r>
        <w:rPr>
          <w:rFonts w:hint="eastAsia" w:eastAsia="仿宋_GB2312"/>
          <w:sz w:val="24"/>
        </w:rPr>
        <w:t>期间，范围为省级水行政主管部门统计报送本行政区域内所管辖的各水利生产经营单位情况，部直属单位统计报送管辖范围内的水利生产经营单位情况。</w:t>
      </w:r>
    </w:p>
    <w:p>
      <w:pPr>
        <w:ind w:firstLine="960" w:firstLineChars="400"/>
      </w:pPr>
      <w:r>
        <w:rPr>
          <w:rFonts w:eastAsia="仿宋_GB2312"/>
          <w:sz w:val="24"/>
        </w:rPr>
        <w:t>2</w:t>
      </w:r>
      <w:r>
        <w:rPr>
          <w:rFonts w:hint="eastAsia" w:eastAsia="仿宋_GB2312"/>
          <w:sz w:val="24"/>
        </w:rPr>
        <w:t>、其他特色活动请填写名称、举办次数、参加人数。</w:t>
      </w: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体">
    <w:altName w:val="宋体"/>
    <w:panose1 w:val="00000000000000000000"/>
    <w:charset w:val="86"/>
    <w:family w:val="auto"/>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313B4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2016-05-04T09:17:23Z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